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1269" w:rsidRDefault="00B73D0E">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36"/>
          <w:szCs w:val="36"/>
        </w:rPr>
      </w:pPr>
      <w:r>
        <w:rPr>
          <w:rFonts w:ascii="Arial" w:eastAsia="Arial" w:hAnsi="Arial" w:cs="Arial"/>
          <w:b/>
          <w:color w:val="000000"/>
          <w:sz w:val="36"/>
          <w:szCs w:val="36"/>
          <w:u w:val="single"/>
        </w:rPr>
        <w:t>Title:</w:t>
      </w:r>
    </w:p>
    <w:p w14:paraId="47282862" w14:textId="77777777" w:rsidR="00545A8D" w:rsidRDefault="00545A8D" w:rsidP="00B73D0E">
      <w:pPr>
        <w:pBdr>
          <w:top w:val="nil"/>
          <w:left w:val="nil"/>
          <w:bottom w:val="nil"/>
          <w:right w:val="nil"/>
          <w:between w:val="nil"/>
        </w:pBdr>
        <w:spacing w:before="240" w:after="240" w:line="480" w:lineRule="auto"/>
        <w:rPr>
          <w:rFonts w:ascii="Arial" w:eastAsia="Arial" w:hAnsi="Arial" w:cs="Arial"/>
          <w:b/>
          <w:color w:val="000000"/>
          <w:sz w:val="28"/>
          <w:szCs w:val="28"/>
        </w:rPr>
      </w:pPr>
      <w:r w:rsidRPr="00545A8D">
        <w:rPr>
          <w:rFonts w:ascii="Arial" w:eastAsia="Arial" w:hAnsi="Arial" w:cs="Arial"/>
          <w:b/>
          <w:color w:val="000000"/>
          <w:sz w:val="28"/>
          <w:szCs w:val="28"/>
        </w:rPr>
        <w:t>The Psychology of a Language Learner: The Out-Turn of 'Self-Motivation' on a Learner's Linguistic Self-Competence</w:t>
      </w:r>
    </w:p>
    <w:p w14:paraId="00000007" w14:textId="2FCBEE1A" w:rsidR="00FF1269" w:rsidRDefault="00B73D0E" w:rsidP="003D47A8">
      <w:pPr>
        <w:pBdr>
          <w:top w:val="nil"/>
          <w:left w:val="nil"/>
          <w:bottom w:val="nil"/>
          <w:right w:val="nil"/>
          <w:between w:val="nil"/>
        </w:pBdr>
        <w:spacing w:before="240" w:after="240" w:line="480" w:lineRule="auto"/>
        <w:rPr>
          <w:rFonts w:asciiTheme="minorBidi" w:hAnsiTheme="minorBidi" w:cstheme="minorBidi"/>
          <w:color w:val="000000"/>
          <w:sz w:val="28"/>
          <w:szCs w:val="28"/>
        </w:rPr>
      </w:pPr>
      <w:r>
        <w:rPr>
          <w:rFonts w:ascii="Arial" w:eastAsia="Arial" w:hAnsi="Arial" w:cs="Arial"/>
          <w:b/>
          <w:color w:val="000000"/>
          <w:sz w:val="36"/>
          <w:szCs w:val="36"/>
          <w:u w:val="single"/>
        </w:rPr>
        <w:t>Abstract:</w:t>
      </w:r>
      <w:r>
        <w:rPr>
          <w:rFonts w:ascii="Arial" w:eastAsia="Arial" w:hAnsi="Arial" w:cs="Arial"/>
          <w:b/>
          <w:color w:val="000000"/>
          <w:sz w:val="28"/>
          <w:szCs w:val="28"/>
          <w:u w:val="single"/>
        </w:rPr>
        <w:br/>
      </w:r>
      <w:r w:rsidR="00545A8D" w:rsidRPr="00545A8D">
        <w:rPr>
          <w:rFonts w:asciiTheme="minorBidi" w:hAnsiTheme="minorBidi" w:cstheme="minorBidi"/>
          <w:color w:val="000000"/>
          <w:sz w:val="28"/>
          <w:szCs w:val="28"/>
        </w:rPr>
        <w:t>People always quote, “We are all the same.” Is this really the case? For us human beings, are we really the same with no slight difference? When we say “same”, it is about the way we communicate, our etiquette, our lifestyle, and our emotions as well. This quote is just flawed in a specific perspective, especially when we examine our way of learning language and how we get motivated and most importantly, motivate ourselves; we are the opposite of the same! For this purpose, it becomes a major essentiality to inspect or investigate the theoretical anatomy of “motivation” in second language acquisition and learning. This p</w:t>
      </w:r>
      <w:r w:rsidR="003D47A8">
        <w:rPr>
          <w:rFonts w:asciiTheme="minorBidi" w:hAnsiTheme="minorBidi" w:cstheme="minorBidi"/>
          <w:color w:val="000000"/>
          <w:sz w:val="28"/>
          <w:szCs w:val="28"/>
        </w:rPr>
        <w:t>oster</w:t>
      </w:r>
      <w:r w:rsidR="00545A8D" w:rsidRPr="00545A8D">
        <w:rPr>
          <w:rFonts w:asciiTheme="minorBidi" w:hAnsiTheme="minorBidi" w:cstheme="minorBidi"/>
          <w:color w:val="000000"/>
          <w:sz w:val="28"/>
          <w:szCs w:val="28"/>
        </w:rPr>
        <w:t xml:space="preserve"> </w:t>
      </w:r>
      <w:r w:rsidR="003D47A8">
        <w:rPr>
          <w:rFonts w:asciiTheme="minorBidi" w:hAnsiTheme="minorBidi" w:cstheme="minorBidi"/>
          <w:color w:val="000000"/>
          <w:sz w:val="28"/>
          <w:szCs w:val="28"/>
        </w:rPr>
        <w:t xml:space="preserve">presentation </w:t>
      </w:r>
      <w:r w:rsidR="00545A8D" w:rsidRPr="00545A8D">
        <w:rPr>
          <w:rFonts w:asciiTheme="minorBidi" w:hAnsiTheme="minorBidi" w:cstheme="minorBidi"/>
          <w:color w:val="000000"/>
          <w:sz w:val="28"/>
          <w:szCs w:val="28"/>
        </w:rPr>
        <w:t xml:space="preserve">offers to throw light on the essence of motivation and mainly ‘self-motivation’ as a catalyst to reach linguistic self-confidence and therefore self-competence in linguistic communication. This quantitative research scenario examined the contribution of Egyptian EFL learners’ motivation, self-motivation, and linguistic self-confidence in their proficiency, as well as language-use </w:t>
      </w:r>
      <w:r w:rsidR="00545A8D" w:rsidRPr="00545A8D">
        <w:rPr>
          <w:rFonts w:asciiTheme="minorBidi" w:hAnsiTheme="minorBidi" w:cstheme="minorBidi"/>
          <w:color w:val="000000"/>
          <w:sz w:val="28"/>
          <w:szCs w:val="28"/>
        </w:rPr>
        <w:lastRenderedPageBreak/>
        <w:t>anxiety to their willingness to communicate (WTC) level, along with a minor possible impact of age and gender on the learners’ reported L2 WTC. 50 university students – 25 freshman students vs. 25 graduating senior students – were randomly selected to fill in a questionnaire for this study. Results indicated that L2 self-motivation and self-confidence made a remarkable contribution to the prediction of L2 WTC. Furthermore, it was found that the learners’ age and gender did not make a statistical difference to their WTC, since the learners were freshmen vs. graduating seniors. The findings could contribute to the ongoing debates on the theory and practice of WTC and feed into further research that is germane to second language pedagogy and learners’ self-motivation to be willing to communicate in their second language.</w:t>
      </w:r>
    </w:p>
    <w:p w14:paraId="33AC1596" w14:textId="3D7A32E3" w:rsidR="00545A8D" w:rsidRDefault="00545A8D" w:rsidP="00545A8D">
      <w:pPr>
        <w:pBdr>
          <w:top w:val="nil"/>
          <w:left w:val="nil"/>
          <w:bottom w:val="nil"/>
          <w:right w:val="nil"/>
          <w:between w:val="nil"/>
        </w:pBdr>
        <w:spacing w:before="240" w:after="240" w:line="480" w:lineRule="auto"/>
        <w:rPr>
          <w:rFonts w:asciiTheme="minorBidi" w:hAnsiTheme="minorBidi" w:cstheme="minorBidi"/>
          <w:color w:val="000000"/>
          <w:sz w:val="28"/>
          <w:szCs w:val="28"/>
        </w:rPr>
      </w:pPr>
      <w:r w:rsidRPr="00545A8D">
        <w:rPr>
          <w:rFonts w:asciiTheme="minorBidi" w:hAnsiTheme="minorBidi" w:cstheme="minorBidi"/>
          <w:b/>
          <w:bCs/>
          <w:i/>
          <w:iCs/>
          <w:color w:val="000000"/>
          <w:sz w:val="28"/>
          <w:szCs w:val="28"/>
        </w:rPr>
        <w:t>Keywords:</w:t>
      </w:r>
      <w:r>
        <w:rPr>
          <w:rFonts w:asciiTheme="minorBidi" w:hAnsiTheme="minorBidi" w:cstheme="minorBidi"/>
          <w:color w:val="000000"/>
          <w:sz w:val="28"/>
          <w:szCs w:val="28"/>
        </w:rPr>
        <w:t xml:space="preserve"> language a</w:t>
      </w:r>
      <w:r w:rsidRPr="00545A8D">
        <w:rPr>
          <w:rFonts w:asciiTheme="minorBidi" w:hAnsiTheme="minorBidi" w:cstheme="minorBidi"/>
          <w:color w:val="000000"/>
          <w:sz w:val="28"/>
          <w:szCs w:val="28"/>
        </w:rPr>
        <w:t>cquisition</w:t>
      </w:r>
      <w:r>
        <w:rPr>
          <w:rFonts w:asciiTheme="minorBidi" w:hAnsiTheme="minorBidi" w:cstheme="minorBidi"/>
          <w:color w:val="000000"/>
          <w:sz w:val="28"/>
          <w:szCs w:val="28"/>
        </w:rPr>
        <w:t>, language l</w:t>
      </w:r>
      <w:r w:rsidRPr="00545A8D">
        <w:rPr>
          <w:rFonts w:asciiTheme="minorBidi" w:hAnsiTheme="minorBidi" w:cstheme="minorBidi"/>
          <w:color w:val="000000"/>
          <w:sz w:val="28"/>
          <w:szCs w:val="28"/>
        </w:rPr>
        <w:t>earning</w:t>
      </w:r>
      <w:r>
        <w:rPr>
          <w:rFonts w:asciiTheme="minorBidi" w:hAnsiTheme="minorBidi" w:cstheme="minorBidi"/>
          <w:color w:val="000000"/>
          <w:sz w:val="28"/>
          <w:szCs w:val="28"/>
        </w:rPr>
        <w:t>, willingness to c</w:t>
      </w:r>
      <w:r w:rsidRPr="00545A8D">
        <w:rPr>
          <w:rFonts w:asciiTheme="minorBidi" w:hAnsiTheme="minorBidi" w:cstheme="minorBidi"/>
          <w:color w:val="000000"/>
          <w:sz w:val="28"/>
          <w:szCs w:val="28"/>
        </w:rPr>
        <w:t>ommunicate</w:t>
      </w:r>
      <w:r>
        <w:rPr>
          <w:rFonts w:asciiTheme="minorBidi" w:hAnsiTheme="minorBidi" w:cstheme="minorBidi"/>
          <w:color w:val="000000"/>
          <w:sz w:val="28"/>
          <w:szCs w:val="28"/>
        </w:rPr>
        <w:t>, m</w:t>
      </w:r>
      <w:r w:rsidRPr="00545A8D">
        <w:rPr>
          <w:rFonts w:asciiTheme="minorBidi" w:hAnsiTheme="minorBidi" w:cstheme="minorBidi"/>
          <w:color w:val="000000"/>
          <w:sz w:val="28"/>
          <w:szCs w:val="28"/>
        </w:rPr>
        <w:t>otivation</w:t>
      </w:r>
      <w:r>
        <w:rPr>
          <w:rFonts w:asciiTheme="minorBidi" w:hAnsiTheme="minorBidi" w:cstheme="minorBidi"/>
          <w:color w:val="000000"/>
          <w:sz w:val="28"/>
          <w:szCs w:val="28"/>
        </w:rPr>
        <w:t>, s</w:t>
      </w:r>
      <w:r w:rsidRPr="00545A8D">
        <w:rPr>
          <w:rFonts w:asciiTheme="minorBidi" w:hAnsiTheme="minorBidi" w:cstheme="minorBidi"/>
          <w:color w:val="000000"/>
          <w:sz w:val="28"/>
          <w:szCs w:val="28"/>
        </w:rPr>
        <w:t>elf-motivation</w:t>
      </w:r>
      <w:r>
        <w:rPr>
          <w:rFonts w:asciiTheme="minorBidi" w:hAnsiTheme="minorBidi" w:cstheme="minorBidi"/>
          <w:color w:val="000000"/>
          <w:sz w:val="28"/>
          <w:szCs w:val="28"/>
        </w:rPr>
        <w:t xml:space="preserve">, </w:t>
      </w:r>
      <w:r w:rsidRPr="00545A8D">
        <w:rPr>
          <w:rFonts w:asciiTheme="minorBidi" w:hAnsiTheme="minorBidi" w:cstheme="minorBidi"/>
          <w:color w:val="000000"/>
          <w:sz w:val="28"/>
          <w:szCs w:val="28"/>
        </w:rPr>
        <w:t>L2 Self-confidence</w:t>
      </w:r>
      <w:r>
        <w:rPr>
          <w:rFonts w:asciiTheme="minorBidi" w:hAnsiTheme="minorBidi" w:cstheme="minorBidi"/>
          <w:color w:val="000000"/>
          <w:sz w:val="28"/>
          <w:szCs w:val="28"/>
        </w:rPr>
        <w:t xml:space="preserve">, </w:t>
      </w:r>
      <w:r w:rsidRPr="00545A8D">
        <w:rPr>
          <w:rFonts w:asciiTheme="minorBidi" w:hAnsiTheme="minorBidi" w:cstheme="minorBidi"/>
          <w:color w:val="000000"/>
          <w:sz w:val="28"/>
          <w:szCs w:val="28"/>
        </w:rPr>
        <w:t>L2 Self-competence</w:t>
      </w:r>
      <w:r>
        <w:rPr>
          <w:rFonts w:asciiTheme="minorBidi" w:hAnsiTheme="minorBidi" w:cstheme="minorBidi"/>
          <w:color w:val="000000"/>
          <w:sz w:val="28"/>
          <w:szCs w:val="28"/>
        </w:rPr>
        <w:t>, linguistic m</w:t>
      </w:r>
      <w:r w:rsidRPr="00545A8D">
        <w:rPr>
          <w:rFonts w:asciiTheme="minorBidi" w:hAnsiTheme="minorBidi" w:cstheme="minorBidi"/>
          <w:color w:val="000000"/>
          <w:sz w:val="28"/>
          <w:szCs w:val="28"/>
        </w:rPr>
        <w:t>otivation</w:t>
      </w:r>
    </w:p>
    <w:p w14:paraId="13FF0755" w14:textId="39C90BB1" w:rsidR="003D47A8" w:rsidRDefault="003D47A8" w:rsidP="00545A8D">
      <w:pPr>
        <w:pBdr>
          <w:top w:val="nil"/>
          <w:left w:val="nil"/>
          <w:bottom w:val="nil"/>
          <w:right w:val="nil"/>
          <w:between w:val="nil"/>
        </w:pBdr>
        <w:spacing w:before="240" w:after="240" w:line="480" w:lineRule="auto"/>
        <w:rPr>
          <w:rFonts w:asciiTheme="minorBidi" w:hAnsiTheme="minorBidi" w:cstheme="minorBidi"/>
          <w:color w:val="000000"/>
          <w:sz w:val="28"/>
          <w:szCs w:val="28"/>
        </w:rPr>
      </w:pPr>
    </w:p>
    <w:p w14:paraId="70D24789" w14:textId="4E0F427D" w:rsidR="003D47A8" w:rsidRDefault="003D47A8" w:rsidP="00545A8D">
      <w:pPr>
        <w:pBdr>
          <w:top w:val="nil"/>
          <w:left w:val="nil"/>
          <w:bottom w:val="nil"/>
          <w:right w:val="nil"/>
          <w:between w:val="nil"/>
        </w:pBdr>
        <w:spacing w:before="240" w:after="240" w:line="480" w:lineRule="auto"/>
        <w:rPr>
          <w:rFonts w:asciiTheme="minorBidi" w:hAnsiTheme="minorBidi" w:cstheme="minorBidi"/>
          <w:color w:val="000000"/>
          <w:sz w:val="28"/>
          <w:szCs w:val="28"/>
        </w:rPr>
      </w:pPr>
    </w:p>
    <w:p w14:paraId="3A7688A8" w14:textId="7065674D" w:rsidR="003D47A8" w:rsidRDefault="003D47A8" w:rsidP="00545A8D">
      <w:pPr>
        <w:pBdr>
          <w:top w:val="nil"/>
          <w:left w:val="nil"/>
          <w:bottom w:val="nil"/>
          <w:right w:val="nil"/>
          <w:between w:val="nil"/>
        </w:pBdr>
        <w:spacing w:before="240" w:after="240" w:line="480" w:lineRule="auto"/>
        <w:rPr>
          <w:rFonts w:asciiTheme="minorBidi" w:hAnsiTheme="minorBidi" w:cstheme="minorBidi"/>
          <w:color w:val="000000"/>
          <w:sz w:val="28"/>
          <w:szCs w:val="28"/>
        </w:rPr>
      </w:pPr>
    </w:p>
    <w:p w14:paraId="7D38DFBE" w14:textId="0B59DDD6" w:rsidR="003D47A8" w:rsidRDefault="00F3447B" w:rsidP="00F3447B">
      <w:pPr>
        <w:pBdr>
          <w:top w:val="nil"/>
          <w:left w:val="nil"/>
          <w:bottom w:val="nil"/>
          <w:right w:val="nil"/>
          <w:between w:val="nil"/>
        </w:pBdr>
        <w:spacing w:before="240" w:after="240" w:line="480" w:lineRule="auto"/>
        <w:jc w:val="center"/>
        <w:rPr>
          <w:rFonts w:ascii="Arial" w:eastAsia="Arial" w:hAnsi="Arial" w:cs="Arial"/>
          <w:b/>
          <w:color w:val="000000"/>
          <w:sz w:val="28"/>
          <w:szCs w:val="28"/>
        </w:rPr>
      </w:pPr>
      <w:r w:rsidRPr="00F3447B">
        <w:rPr>
          <w:rFonts w:ascii="Arial" w:eastAsia="Arial" w:hAnsi="Arial" w:cs="Arial"/>
          <w:b/>
          <w:color w:val="000000"/>
          <w:sz w:val="28"/>
          <w:szCs w:val="28"/>
        </w:rPr>
        <w:lastRenderedPageBreak/>
        <w:t>References</w:t>
      </w:r>
    </w:p>
    <w:p w14:paraId="10B18713" w14:textId="77777777" w:rsidR="00DA0D29" w:rsidRPr="00DA0D29" w:rsidRDefault="00DA0D29" w:rsidP="00DA0D29">
      <w:pPr>
        <w:pBdr>
          <w:top w:val="nil"/>
          <w:left w:val="nil"/>
          <w:bottom w:val="nil"/>
          <w:right w:val="nil"/>
          <w:between w:val="nil"/>
        </w:pBdr>
        <w:spacing w:before="240" w:after="240" w:line="480" w:lineRule="auto"/>
        <w:rPr>
          <w:rFonts w:ascii="Arial" w:eastAsia="Arial" w:hAnsi="Arial" w:cs="Arial"/>
          <w:bCs/>
          <w:color w:val="000000"/>
          <w:sz w:val="28"/>
          <w:szCs w:val="28"/>
        </w:rPr>
      </w:pPr>
      <w:proofErr w:type="spellStart"/>
      <w:r w:rsidRPr="00DA0D29">
        <w:rPr>
          <w:rFonts w:ascii="Arial" w:eastAsia="Arial" w:hAnsi="Arial" w:cs="Arial"/>
          <w:bCs/>
          <w:color w:val="000000"/>
          <w:sz w:val="28"/>
          <w:szCs w:val="28"/>
        </w:rPr>
        <w:t>Dörnyei</w:t>
      </w:r>
      <w:proofErr w:type="spellEnd"/>
      <w:r w:rsidRPr="00DA0D29">
        <w:rPr>
          <w:rFonts w:ascii="Arial" w:eastAsia="Arial" w:hAnsi="Arial" w:cs="Arial"/>
          <w:bCs/>
          <w:color w:val="000000"/>
          <w:sz w:val="28"/>
          <w:szCs w:val="28"/>
        </w:rPr>
        <w:t>, Z. (2010). The psyc</w:t>
      </w:r>
      <w:bookmarkStart w:id="0" w:name="_GoBack"/>
      <w:bookmarkEnd w:id="0"/>
      <w:r w:rsidRPr="00DA0D29">
        <w:rPr>
          <w:rFonts w:ascii="Arial" w:eastAsia="Arial" w:hAnsi="Arial" w:cs="Arial"/>
          <w:bCs/>
          <w:color w:val="000000"/>
          <w:sz w:val="28"/>
          <w:szCs w:val="28"/>
        </w:rPr>
        <w:t>hology of the language learner. New York: Routledge.</w:t>
      </w:r>
    </w:p>
    <w:p w14:paraId="0597906A" w14:textId="77777777" w:rsidR="00DA0D29" w:rsidRPr="00DA0D29" w:rsidRDefault="00DA0D29" w:rsidP="00DA0D29">
      <w:pPr>
        <w:pBdr>
          <w:top w:val="nil"/>
          <w:left w:val="nil"/>
          <w:bottom w:val="nil"/>
          <w:right w:val="nil"/>
          <w:between w:val="nil"/>
        </w:pBdr>
        <w:spacing w:before="240" w:after="240" w:line="480" w:lineRule="auto"/>
        <w:rPr>
          <w:rFonts w:ascii="Arial" w:eastAsia="Arial" w:hAnsi="Arial" w:cs="Arial"/>
          <w:bCs/>
          <w:color w:val="000000"/>
          <w:sz w:val="28"/>
          <w:szCs w:val="28"/>
        </w:rPr>
      </w:pPr>
      <w:r w:rsidRPr="00DA0D29">
        <w:rPr>
          <w:rFonts w:ascii="Arial" w:eastAsia="Arial" w:hAnsi="Arial" w:cs="Arial"/>
          <w:bCs/>
          <w:color w:val="000000"/>
          <w:sz w:val="28"/>
          <w:szCs w:val="28"/>
        </w:rPr>
        <w:t>Ellis, R. (2019). Understanding second language acquisition. Oxford: Oxford University Press.</w:t>
      </w:r>
    </w:p>
    <w:p w14:paraId="228BE1F1" w14:textId="15A8E774" w:rsidR="00DA0D29" w:rsidRDefault="00DA0D29" w:rsidP="00DA0D29">
      <w:pPr>
        <w:pBdr>
          <w:top w:val="nil"/>
          <w:left w:val="nil"/>
          <w:bottom w:val="nil"/>
          <w:right w:val="nil"/>
          <w:between w:val="nil"/>
        </w:pBdr>
        <w:spacing w:before="240" w:after="240" w:line="480" w:lineRule="auto"/>
        <w:rPr>
          <w:rFonts w:ascii="Arial" w:eastAsia="Arial" w:hAnsi="Arial" w:cs="Arial"/>
          <w:bCs/>
          <w:color w:val="000000"/>
          <w:sz w:val="28"/>
          <w:szCs w:val="28"/>
        </w:rPr>
      </w:pPr>
      <w:proofErr w:type="spellStart"/>
      <w:r w:rsidRPr="00DA0D29">
        <w:rPr>
          <w:rFonts w:ascii="Arial" w:eastAsia="Arial" w:hAnsi="Arial" w:cs="Arial"/>
          <w:bCs/>
          <w:color w:val="000000"/>
          <w:sz w:val="28"/>
          <w:szCs w:val="28"/>
        </w:rPr>
        <w:t>Ghanbarpour</w:t>
      </w:r>
      <w:proofErr w:type="spellEnd"/>
      <w:r w:rsidRPr="00DA0D29">
        <w:rPr>
          <w:rFonts w:ascii="Arial" w:eastAsia="Arial" w:hAnsi="Arial" w:cs="Arial"/>
          <w:bCs/>
          <w:color w:val="000000"/>
          <w:sz w:val="28"/>
          <w:szCs w:val="28"/>
        </w:rPr>
        <w:t xml:space="preserve">, M. (2016). Willingness to Communicate, Linguistic Self-confidence, and Language-use Anxiety: The Iranian EFL Context. Theory </w:t>
      </w:r>
      <w:proofErr w:type="gramStart"/>
      <w:r w:rsidRPr="00DA0D29">
        <w:rPr>
          <w:rFonts w:ascii="Arial" w:eastAsia="Arial" w:hAnsi="Arial" w:cs="Arial"/>
          <w:bCs/>
          <w:color w:val="000000"/>
          <w:sz w:val="28"/>
          <w:szCs w:val="28"/>
        </w:rPr>
        <w:t>And</w:t>
      </w:r>
      <w:proofErr w:type="gramEnd"/>
      <w:r w:rsidRPr="00DA0D29">
        <w:rPr>
          <w:rFonts w:ascii="Arial" w:eastAsia="Arial" w:hAnsi="Arial" w:cs="Arial"/>
          <w:bCs/>
          <w:color w:val="000000"/>
          <w:sz w:val="28"/>
          <w:szCs w:val="28"/>
        </w:rPr>
        <w:t xml:space="preserve"> Practice In Language Studies, 6(12), 2265. </w:t>
      </w:r>
      <w:proofErr w:type="spellStart"/>
      <w:r w:rsidRPr="00DA0D29">
        <w:rPr>
          <w:rFonts w:ascii="Arial" w:eastAsia="Arial" w:hAnsi="Arial" w:cs="Arial"/>
          <w:bCs/>
          <w:color w:val="000000"/>
          <w:sz w:val="28"/>
          <w:szCs w:val="28"/>
        </w:rPr>
        <w:t>doi</w:t>
      </w:r>
      <w:proofErr w:type="spellEnd"/>
      <w:r w:rsidRPr="00DA0D29">
        <w:rPr>
          <w:rFonts w:ascii="Arial" w:eastAsia="Arial" w:hAnsi="Arial" w:cs="Arial"/>
          <w:bCs/>
          <w:color w:val="000000"/>
          <w:sz w:val="28"/>
          <w:szCs w:val="28"/>
        </w:rPr>
        <w:t>: 10.17507/tpls.0612.05</w:t>
      </w:r>
    </w:p>
    <w:p w14:paraId="0BC41C32" w14:textId="77777777" w:rsidR="00DA0D29" w:rsidRPr="00DA0D29" w:rsidRDefault="00DA0D29" w:rsidP="00DA0D29">
      <w:pPr>
        <w:pBdr>
          <w:top w:val="nil"/>
          <w:left w:val="nil"/>
          <w:bottom w:val="nil"/>
          <w:right w:val="nil"/>
          <w:between w:val="nil"/>
        </w:pBdr>
        <w:spacing w:before="240" w:after="240" w:line="480" w:lineRule="auto"/>
        <w:rPr>
          <w:rFonts w:ascii="Arial" w:eastAsia="Arial" w:hAnsi="Arial" w:cs="Arial"/>
          <w:bCs/>
          <w:color w:val="000000"/>
          <w:sz w:val="28"/>
          <w:szCs w:val="28"/>
        </w:rPr>
      </w:pPr>
    </w:p>
    <w:p w14:paraId="11A01291" w14:textId="77777777" w:rsidR="00F3447B" w:rsidRPr="00F3447B" w:rsidRDefault="00F3447B" w:rsidP="00F3447B">
      <w:pPr>
        <w:pBdr>
          <w:top w:val="nil"/>
          <w:left w:val="nil"/>
          <w:bottom w:val="nil"/>
          <w:right w:val="nil"/>
          <w:between w:val="nil"/>
        </w:pBdr>
        <w:spacing w:before="240" w:after="240" w:line="480" w:lineRule="auto"/>
        <w:rPr>
          <w:rFonts w:ascii="Arial" w:eastAsia="Arial" w:hAnsi="Arial" w:cs="Arial"/>
          <w:bCs/>
          <w:color w:val="000000"/>
          <w:sz w:val="28"/>
          <w:szCs w:val="28"/>
        </w:rPr>
      </w:pPr>
    </w:p>
    <w:sectPr w:rsidR="00F3447B" w:rsidRPr="00F344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F1269"/>
    <w:rsid w:val="003D47A8"/>
    <w:rsid w:val="00545A8D"/>
    <w:rsid w:val="00B73D0E"/>
    <w:rsid w:val="00D20723"/>
    <w:rsid w:val="00DA0D29"/>
    <w:rsid w:val="00F3447B"/>
    <w:rsid w:val="00FF1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B283"/>
  <w15:docId w15:val="{5CB3A9E7-14CB-4435-A5AC-DF18BBBD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60DB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5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W9dkbSRn7tcGhbvYoiRx0BP7Q==">AMUW2mVpX7pd3pLKd5caFiuaM1E2YO2+je2uuXd8vKryF9SyY0C0+xTyJhf0rwCaLl3b3Pg/WuJklzZtjXjvvgiNFEnEHYsccg45KIu1amW8FEq/xgkVxowDgpGpu7sUkzT7mZaNCPbt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Nadine Mohammed</cp:lastModifiedBy>
  <cp:revision>7</cp:revision>
  <dcterms:created xsi:type="dcterms:W3CDTF">2020-12-11T16:50:00Z</dcterms:created>
  <dcterms:modified xsi:type="dcterms:W3CDTF">2021-04-12T11:05:00Z</dcterms:modified>
</cp:coreProperties>
</file>